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BD" w:rsidRDefault="003703BD">
      <w:pPr>
        <w:rPr>
          <w:b/>
        </w:rPr>
      </w:pPr>
    </w:p>
    <w:p w:rsidR="00A454E5" w:rsidRPr="004B35F2" w:rsidRDefault="00A454E5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B35F2" w:rsidRPr="004B35F2" w:rsidRDefault="004B35F2" w:rsidP="004B35F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5F2">
        <w:rPr>
          <w:rFonts w:ascii="Times New Roman" w:eastAsia="Times New Roman" w:hAnsi="Times New Roman" w:cs="Times New Roman"/>
          <w:b/>
          <w:lang w:eastAsia="pl-PL"/>
        </w:rPr>
        <w:t>Kryteria wspólne dla wszystkich typów operacji bez względu na źródło finansowania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4685"/>
        <w:gridCol w:w="2336"/>
      </w:tblGrid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510775626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A30347" w:rsidRPr="00A30347" w:rsidTr="00165040">
        <w:trPr>
          <w:trHeight w:val="70"/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 Doradztwo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Skorzystanie przez wnioskodawców z doradztwa biura LGD przy składaniu wniosku.</w:t>
            </w:r>
            <w:r w:rsidRPr="00A3034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Aby osoba lub podmiot uzyskała punkty za korzystanie z doradztwa ma obowiązek skorzystać z niego od dnia ogłoszenia naboru wniosków na stronie internetowej LGD i </w:t>
            </w:r>
            <w:bookmarkStart w:id="1" w:name="_Hlk516492256"/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nie później niż 3 dni </w:t>
            </w:r>
            <w:bookmarkEnd w:id="1"/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robocze przed zakończeniem naboru wniosków. Doradca ma prawo odmówić udzielenia doradztwa, jeśli w danym czasie udziela innej osobie doradztwa.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rejestr świadczonego doradztwa przez biuro LGD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korzystał z doradztwa 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 korzystał z doradztwa biura –</w:t>
            </w: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2.Oddziaływanie operacji na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zidentyfikowane w LSR (w przypadku PROW – osoby młode do 29 r.ż. pozostające bez pracy i osoby powyżej 50 r.ż. pozostające bez pracy, w przypadku RPO – osoby lub rodziny zagrożone ubóstwem lub wykluczeniem społecznym zdefiniowane w </w:t>
            </w: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Wytycznych w zakresie zasad realizacji przedsięwzięć w obszarze włączenia społecznego i zwalczania ubóstwa z wykorzystaniem środków Europejskiego Funduszu Społecznego i Europejskiego Funduszu Rozwoju Regionalnego w perspektywie 2014-2020)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:rsidR="00A30347" w:rsidRPr="00A30347" w:rsidRDefault="00A30347" w:rsidP="00A3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PROW (dotyczy działań z PRZEDSIĘBIORCZOŚCI, tj. podejmowania i rozwijania działalności gospodarczej): preferuje się operacje realizowane przez wnioskodawców będących przedstawicielami grup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tylko osób rozpoczynających działalność) lub zatrudniających osoby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osób rozpoczynających działalność i rozwijających działalność gospodarczą). </w:t>
            </w:r>
            <w:bookmarkStart w:id="2" w:name="_Hlk483895475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RPO i PROW (poza działaniami z PRZEDSIĘBIORCZOŚCI): preferuje się operacje oddziaływujące pozytywnie na grupę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defaworyzowaną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End w:id="2"/>
          </w:p>
          <w:p w:rsidR="00A30347" w:rsidRPr="00A30347" w:rsidRDefault="00A30347" w:rsidP="00A3034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przypadku PRZEDSIĘBIORCZOŚCI kryterium uważa się za spełnione, jeżeli zostanie zatrudniona </w:t>
            </w:r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lastRenderedPageBreak/>
              <w:t xml:space="preserve">co najmniej jedna osoba z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(w tym samozatrudnienie).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(w przypadku działań z PRZEDSIĘBIORCZOŚCI) lub operacja nie będzie skierowana do osób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(poza działaniami z PRZEDSIĘBIORCZOŚCI) nie przyznaje się punktów. </w:t>
            </w:r>
          </w:p>
          <w:p w:rsidR="00A30347" w:rsidRPr="00A30347" w:rsidRDefault="00A30347" w:rsidP="00A3034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przyznanie pomocy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lub do takiej grupy nie jest kierowane wsparcie w projekcie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0 pkt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zatrudni taką osobę lub do takiej grupy kierowane jest wsparcie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</w:p>
        </w:tc>
      </w:tr>
      <w:tr w:rsidR="00A30347" w:rsidRPr="00A30347" w:rsidTr="00165040">
        <w:trPr>
          <w:jc w:val="center"/>
        </w:trPr>
        <w:tc>
          <w:tcPr>
            <w:tcW w:w="1042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bookmarkStart w:id="3" w:name="_Hlk516492309"/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realizacji operacji</w:t>
            </w:r>
            <w:bookmarkEnd w:id="3"/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 pkt.</w:t>
            </w:r>
          </w:p>
        </w:tc>
        <w:tc>
          <w:tcPr>
            <w:tcW w:w="2641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</w:t>
            </w:r>
            <w:r w:rsidRPr="00A303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 obejmujących mieszkańców przynajmniej jednej miejscowości liczącej do 5 tys. mieszkańców, punkty są przyznane. Operacje realizowane </w:t>
            </w:r>
            <w:r w:rsidRPr="00A303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wyłącznie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 miejscowościami do 5 tys. mieszkańców nie otrzymają pkt.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o udzielenie wsparcia oraz Bank Danych Lokalnych</w:t>
            </w:r>
          </w:p>
        </w:tc>
        <w:tc>
          <w:tcPr>
            <w:tcW w:w="1317" w:type="pct"/>
          </w:tcPr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zamieszkałej przez więcej niż 5 tys. mieszkańców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A30347" w:rsidRPr="00A30347" w:rsidRDefault="00A30347" w:rsidP="00A3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do 5 tys. mieszkańców włącznie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bookmarkEnd w:id="0"/>
    </w:tbl>
    <w:p w:rsidR="00A30347" w:rsidRDefault="00A30347"/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4487"/>
        <w:gridCol w:w="2637"/>
      </w:tblGrid>
      <w:tr w:rsidR="00014291" w:rsidRPr="00014291" w:rsidTr="00165040">
        <w:trPr>
          <w:jc w:val="center"/>
        </w:trPr>
        <w:tc>
          <w:tcPr>
            <w:tcW w:w="101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508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474" w:type="pct"/>
          </w:tcPr>
          <w:p w:rsidR="00014291" w:rsidRPr="00014291" w:rsidRDefault="00014291" w:rsidP="000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42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014291" w:rsidRPr="00014291" w:rsidTr="00165040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4F4770" w:rsidRPr="004F4770" w:rsidRDefault="004F4770" w:rsidP="004F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EDUKACJA W SZKOŁACH KSZTAŁCENIA OGÓLNEGO</w:t>
            </w:r>
          </w:p>
          <w:p w:rsidR="00014291" w:rsidRPr="00014291" w:rsidRDefault="004F4770" w:rsidP="004F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Przedsięwzięcie nr 1.1.2 Podniesienie jakości oferty edukacyjnej małych szkół kształcenia ogólnego</w:t>
            </w:r>
          </w:p>
        </w:tc>
      </w:tr>
      <w:tr w:rsidR="004F4770" w:rsidRPr="004F4770" w:rsidTr="00715C35">
        <w:trPr>
          <w:jc w:val="center"/>
        </w:trPr>
        <w:tc>
          <w:tcPr>
            <w:tcW w:w="1018" w:type="pct"/>
            <w:vAlign w:val="center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1.Wnioskodawca jest organizacją pozarządową i/lub projekt realizowany jest w partnerstwie z organizacją pozarządową 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0-2 pkt.</w:t>
            </w:r>
          </w:p>
        </w:tc>
        <w:tc>
          <w:tcPr>
            <w:tcW w:w="2508" w:type="pct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Wnioskodawca jest organizacją pozarządową i/lub projekt realizowany jest w partnerstwie z organizacją pozarządową.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pierwszej kolejności premiuje się organizacje pozarządowe, które zdecydują się na realizację zadania na rzecz społeczności lokalnej. Ponadto premiowane będą projekty partnerskie z organizacją pozarządową, przez co rozumie się wszelkie formy (formalne i nieformalne) włączenia tychże podmiotów w proces realizacji projektu.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Uzasadnienie kryterium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 Z diagnozy obszaru wynika, iż na terenie LGD istnieje duży potencjał lokalnych liderów i organizacji pozarządowych, który jednocześnie nie jest odpowiednio 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474" w:type="pct"/>
            <w:vAlign w:val="center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organizacją pozarządową ani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projekt nie jest realizowany w partnerstwie z organizacją pozarządową </w:t>
            </w: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0 pkt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 jest realizowany w partnerstwie z organizacją pozarządową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1 pkt.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organizacją pozarządową – 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tr w:rsidR="004F4770" w:rsidRPr="004F4770" w:rsidTr="006B1BDB">
        <w:trPr>
          <w:jc w:val="center"/>
        </w:trPr>
        <w:tc>
          <w:tcPr>
            <w:tcW w:w="1018" w:type="pct"/>
            <w:vAlign w:val="center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2.Efektywność wskaźnikowa produktu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508" w:type="pct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Stopień osiągnięcia głównego wskaźnika produktu dla przedsięwzięcia: </w:t>
            </w:r>
            <w:r w:rsidRPr="004F47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Liczba uczniów objętych wsparciem w zakresie rozwijania kompetencji kluczowych w programie.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Aby niwelować zdiagnozowany problem jakim jest utrudniony udział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osób </w:t>
            </w:r>
            <w:proofErr w:type="spellStart"/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defaworyzowanych</w:t>
            </w:r>
            <w:proofErr w:type="spellEnd"/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w dalszym życiu (m.in. ze względu na dostęp do rynku pracy) koniecznym jest wsparcie projektów przyczyniających się w jak największym stopniu do realizacji celu szczegółowego. Kryterium pozwoli na realizację w pierwszej kolejności projektów najbardziej efektywnych pod kątem objęcia wsparciem osób młodych (wykazanych jako grupa </w:t>
            </w:r>
            <w:proofErr w:type="spellStart"/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defaworyzowana</w:t>
            </w:r>
            <w:proofErr w:type="spellEnd"/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). 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474" w:type="pct"/>
            <w:vAlign w:val="center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3% włącznie wskaźnika – 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projektu osiągają p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owyżej 3% do 5%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włącznie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wskaźnika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- 1 pkt.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projektu osiągają p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owyżej 5% do 7%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włącznie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F47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wskaźnika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- 2 pkt.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7% do 10% włącznie wskaźnika – 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pkt.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wskaźnika – 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5 pkt. </w:t>
            </w:r>
          </w:p>
        </w:tc>
      </w:tr>
      <w:tr w:rsidR="004F4770" w:rsidRPr="004F4770" w:rsidTr="00BB61FF">
        <w:trPr>
          <w:jc w:val="center"/>
        </w:trPr>
        <w:tc>
          <w:tcPr>
            <w:tcW w:w="1018" w:type="pct"/>
          </w:tcPr>
          <w:p w:rsidR="004F4770" w:rsidRPr="004F4770" w:rsidRDefault="004F4770" w:rsidP="004F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3.Wykorzystanie innowacyjnych narzędzi pracy</w:t>
            </w:r>
          </w:p>
          <w:p w:rsidR="004F4770" w:rsidRPr="004F4770" w:rsidRDefault="004F4770" w:rsidP="004F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0-4 pkt.</w:t>
            </w:r>
          </w:p>
        </w:tc>
        <w:tc>
          <w:tcPr>
            <w:tcW w:w="2508" w:type="pct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Ujęcie w operacji innowacyjnych narzędzi pracy z uczniami. Kryterium premiuje szkoły lub placówki systemu oświaty, które zostaną doposażone w ramach programu lu</w:t>
            </w:r>
            <w:bookmarkStart w:id="4" w:name="_GoBack"/>
            <w:bookmarkEnd w:id="4"/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 zastosują nowe sposoby pracy z uczniem. Dotyczy to zarówno materiałów dydaktycznych, wyposażenia </w:t>
            </w:r>
            <w:proofErr w:type="spellStart"/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proofErr w:type="spellEnd"/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metod nauki, sposobów przekazywania wiedzy, itp. W przypadku niestwierdzenia wykorzystywania innowacyjnych narzędzi kryterium uznaje się za niespełnione.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uwagi na wskazanie w diagnozie niedostatecznie atrakcyjnej oferty zajęć pozalekcyjnych, wykorzystywanie nowych narzędzi i metod pracy, staje się konieczne. 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474" w:type="pct"/>
            <w:vAlign w:val="center"/>
          </w:tcPr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nie przewiduje wykorzystania innowacyjnych narzędzi pracy z uczniem – 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4F4770" w:rsidRPr="004F4770" w:rsidRDefault="004F4770" w:rsidP="004F47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47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przewiduje wykorzystanie innowacyjnych narzędzi pracy z uczniem – </w:t>
            </w:r>
            <w:r w:rsidRPr="004F47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pkt.</w:t>
            </w:r>
          </w:p>
        </w:tc>
      </w:tr>
    </w:tbl>
    <w:p w:rsidR="00014291" w:rsidRPr="004F4770" w:rsidRDefault="00014291">
      <w:pPr>
        <w:rPr>
          <w:rFonts w:ascii="Times New Roman" w:hAnsi="Times New Roman" w:cs="Times New Roman"/>
        </w:rPr>
      </w:pPr>
    </w:p>
    <w:sectPr w:rsidR="00014291" w:rsidRPr="004F47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EFC" w:rsidRDefault="00597EFC" w:rsidP="003703BD">
      <w:pPr>
        <w:spacing w:after="0" w:line="240" w:lineRule="auto"/>
      </w:pPr>
      <w:r>
        <w:separator/>
      </w:r>
    </w:p>
  </w:endnote>
  <w:endnote w:type="continuationSeparator" w:id="0">
    <w:p w:rsidR="00597EFC" w:rsidRDefault="00597EFC" w:rsidP="0037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EFC" w:rsidRDefault="00597EFC" w:rsidP="003703BD">
      <w:pPr>
        <w:spacing w:after="0" w:line="240" w:lineRule="auto"/>
      </w:pPr>
      <w:r>
        <w:separator/>
      </w:r>
    </w:p>
  </w:footnote>
  <w:footnote w:type="continuationSeparator" w:id="0">
    <w:p w:rsidR="00597EFC" w:rsidRDefault="00597EFC" w:rsidP="0037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BD" w:rsidRDefault="003703BD">
    <w:pPr>
      <w:pStyle w:val="Nagwek"/>
    </w:pPr>
    <w:r>
      <w:rPr>
        <w:noProof/>
      </w:rPr>
      <w:drawing>
        <wp:inline distT="0" distB="0" distL="0" distR="0" wp14:anchorId="332E25F7" wp14:editId="0C7334F3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5"/>
    <w:rsid w:val="00014291"/>
    <w:rsid w:val="00063557"/>
    <w:rsid w:val="001268E0"/>
    <w:rsid w:val="00355FA8"/>
    <w:rsid w:val="003703BD"/>
    <w:rsid w:val="003A5C31"/>
    <w:rsid w:val="004B35F2"/>
    <w:rsid w:val="004F4770"/>
    <w:rsid w:val="00597EFC"/>
    <w:rsid w:val="005A308D"/>
    <w:rsid w:val="006F26A9"/>
    <w:rsid w:val="00A30347"/>
    <w:rsid w:val="00A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DF16"/>
  <w15:chartTrackingRefBased/>
  <w15:docId w15:val="{053328F7-AD96-4384-AD65-B40FC5B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BD"/>
  </w:style>
  <w:style w:type="paragraph" w:styleId="Stopka">
    <w:name w:val="footer"/>
    <w:basedOn w:val="Normalny"/>
    <w:link w:val="Stopka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2</cp:revision>
  <dcterms:created xsi:type="dcterms:W3CDTF">2019-02-01T11:47:00Z</dcterms:created>
  <dcterms:modified xsi:type="dcterms:W3CDTF">2019-02-01T11:47:00Z</dcterms:modified>
</cp:coreProperties>
</file>